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CE86B" w14:textId="0AC22C22" w:rsidR="000A61BD" w:rsidRPr="001758D5" w:rsidRDefault="000A61BD" w:rsidP="001B710F">
      <w:pPr>
        <w:jc w:val="center"/>
        <w:rPr>
          <w:rFonts w:asciiTheme="minorBidi" w:hAnsiTheme="minorBidi"/>
          <w:b/>
          <w:bCs/>
          <w:sz w:val="48"/>
          <w:szCs w:val="48"/>
        </w:rPr>
      </w:pPr>
      <w:r w:rsidRPr="001758D5">
        <w:rPr>
          <w:rFonts w:asciiTheme="minorBidi" w:hAnsiTheme="minorBidi"/>
          <w:b/>
          <w:bCs/>
          <w:sz w:val="48"/>
          <w:szCs w:val="48"/>
        </w:rPr>
        <w:t>Staff Grievance Procedure</w:t>
      </w:r>
    </w:p>
    <w:p w14:paraId="39CD3E6B" w14:textId="77777777" w:rsidR="000A61BD" w:rsidRPr="001758D5" w:rsidRDefault="000A61BD" w:rsidP="000A61BD">
      <w:pPr>
        <w:rPr>
          <w:rFonts w:asciiTheme="minorBidi" w:hAnsiTheme="minorBidi"/>
          <w:b/>
          <w:bCs/>
          <w:sz w:val="28"/>
          <w:szCs w:val="28"/>
        </w:rPr>
      </w:pPr>
      <w:r w:rsidRPr="001758D5">
        <w:rPr>
          <w:rFonts w:asciiTheme="minorBidi" w:hAnsiTheme="minorBidi"/>
          <w:b/>
          <w:bCs/>
          <w:sz w:val="28"/>
          <w:szCs w:val="28"/>
        </w:rPr>
        <w:t>Purpose</w:t>
      </w:r>
    </w:p>
    <w:p w14:paraId="11E057C8" w14:textId="77777777" w:rsidR="000A61BD" w:rsidRPr="001758D5" w:rsidRDefault="000A61BD" w:rsidP="00D63381">
      <w:pPr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The Staff Grievance Policy aims to establish fair and structured processes for resolving grievances raised by staff members. The policy ensures that disputes are managed in a consistent and equitable manner, fostering trust and transparency within the institute.</w:t>
      </w:r>
    </w:p>
    <w:p w14:paraId="66943D04" w14:textId="77777777" w:rsidR="000A61BD" w:rsidRPr="001758D5" w:rsidRDefault="000A61BD" w:rsidP="000A61BD">
      <w:pPr>
        <w:rPr>
          <w:rFonts w:asciiTheme="minorBidi" w:hAnsiTheme="minorBidi"/>
          <w:b/>
          <w:bCs/>
          <w:sz w:val="28"/>
          <w:szCs w:val="28"/>
        </w:rPr>
      </w:pPr>
      <w:r w:rsidRPr="001758D5">
        <w:rPr>
          <w:rFonts w:asciiTheme="minorBidi" w:hAnsiTheme="minorBidi"/>
          <w:b/>
          <w:bCs/>
          <w:sz w:val="28"/>
          <w:szCs w:val="28"/>
        </w:rPr>
        <w:t>Definitions</w:t>
      </w:r>
    </w:p>
    <w:p w14:paraId="5FF5A67B" w14:textId="77777777" w:rsidR="000A61BD" w:rsidRPr="001758D5" w:rsidRDefault="000A61BD" w:rsidP="00D63381">
      <w:pPr>
        <w:numPr>
          <w:ilvl w:val="0"/>
          <w:numId w:val="3"/>
        </w:num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b/>
          <w:bCs/>
          <w:sz w:val="28"/>
          <w:szCs w:val="28"/>
        </w:rPr>
        <w:t>Grievance</w:t>
      </w:r>
      <w:r w:rsidRPr="001758D5">
        <w:rPr>
          <w:rFonts w:asciiTheme="minorBidi" w:hAnsiTheme="minorBidi"/>
          <w:sz w:val="28"/>
          <w:szCs w:val="28"/>
        </w:rPr>
        <w:t>: A formal dispute or disagreement between a staff member and a TQTI employee regarding the interpretation or application of the institute’s workplace policies, procedures, or operations. Grievances may arise from:</w:t>
      </w:r>
    </w:p>
    <w:p w14:paraId="6E00A954" w14:textId="77777777" w:rsidR="000A61BD" w:rsidRPr="001758D5" w:rsidRDefault="000A61BD" w:rsidP="00D63381">
      <w:pPr>
        <w:numPr>
          <w:ilvl w:val="1"/>
          <w:numId w:val="3"/>
        </w:num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Failure to address workplace concerns effectively.</w:t>
      </w:r>
    </w:p>
    <w:p w14:paraId="2A6CE3E4" w14:textId="77777777" w:rsidR="000A61BD" w:rsidRPr="001758D5" w:rsidRDefault="000A61BD" w:rsidP="00D63381">
      <w:pPr>
        <w:numPr>
          <w:ilvl w:val="1"/>
          <w:numId w:val="3"/>
        </w:num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Arbitrary or inconsistent actions by TQTI employees or management.</w:t>
      </w:r>
    </w:p>
    <w:p w14:paraId="2E6F7CB8" w14:textId="77777777" w:rsidR="000A61BD" w:rsidRPr="001758D5" w:rsidRDefault="000A61BD" w:rsidP="00D63381">
      <w:pPr>
        <w:numPr>
          <w:ilvl w:val="1"/>
          <w:numId w:val="3"/>
        </w:num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Unfair application of a policy or procedure compared to others.</w:t>
      </w:r>
    </w:p>
    <w:p w14:paraId="507D1E13" w14:textId="2515E842" w:rsidR="004175B4" w:rsidRPr="0018353E" w:rsidRDefault="000A61BD" w:rsidP="0018353E">
      <w:pPr>
        <w:numPr>
          <w:ilvl w:val="1"/>
          <w:numId w:val="3"/>
        </w:num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Administrative errors in applying policies or procedures.</w:t>
      </w:r>
    </w:p>
    <w:p w14:paraId="3A7FE21B" w14:textId="77777777" w:rsidR="004175B4" w:rsidRPr="001758D5" w:rsidRDefault="004175B4" w:rsidP="004175B4">
      <w:p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</w:p>
    <w:p w14:paraId="237B4B7C" w14:textId="3D2C88DB" w:rsidR="003C1218" w:rsidRPr="00C95A4B" w:rsidRDefault="004C55DC" w:rsidP="009D7D42">
      <w:pPr>
        <w:numPr>
          <w:ilvl w:val="0"/>
          <w:numId w:val="3"/>
        </w:numPr>
        <w:spacing w:after="160" w:line="278" w:lineRule="auto"/>
        <w:jc w:val="both"/>
        <w:rPr>
          <w:rFonts w:asciiTheme="minorBidi" w:hAnsiTheme="minorBidi"/>
          <w:b/>
          <w:bCs/>
          <w:sz w:val="28"/>
          <w:szCs w:val="28"/>
        </w:rPr>
      </w:pPr>
      <w:r w:rsidRPr="00C95A4B">
        <w:rPr>
          <w:rFonts w:asciiTheme="minorBidi" w:hAnsiTheme="minorBidi"/>
          <w:b/>
          <w:bCs/>
          <w:sz w:val="28"/>
          <w:szCs w:val="28"/>
        </w:rPr>
        <w:t xml:space="preserve">TQTI </w:t>
      </w:r>
      <w:r w:rsidR="003E1D08" w:rsidRPr="00C95A4B">
        <w:rPr>
          <w:rFonts w:asciiTheme="minorBidi" w:hAnsiTheme="minorBidi"/>
          <w:b/>
          <w:bCs/>
          <w:sz w:val="28"/>
          <w:szCs w:val="28"/>
        </w:rPr>
        <w:t>Administrator</w:t>
      </w:r>
      <w:r w:rsidR="00C95A4B">
        <w:rPr>
          <w:rFonts w:asciiTheme="minorBidi" w:hAnsiTheme="minorBidi"/>
          <w:b/>
          <w:bCs/>
          <w:sz w:val="28"/>
          <w:szCs w:val="28"/>
        </w:rPr>
        <w:t xml:space="preserve">: </w:t>
      </w:r>
      <w:r w:rsidR="00C95A4B" w:rsidRPr="00C95A4B">
        <w:rPr>
          <w:rFonts w:asciiTheme="minorBidi" w:hAnsiTheme="minorBidi"/>
          <w:sz w:val="28"/>
          <w:szCs w:val="28"/>
        </w:rPr>
        <w:t>Head of Department</w:t>
      </w:r>
    </w:p>
    <w:p w14:paraId="22B33EE2" w14:textId="2FC6E10E" w:rsidR="00C95A4B" w:rsidRPr="00917496" w:rsidRDefault="00C95A4B" w:rsidP="009D7D42">
      <w:pPr>
        <w:numPr>
          <w:ilvl w:val="0"/>
          <w:numId w:val="3"/>
        </w:numPr>
        <w:spacing w:after="160" w:line="278" w:lineRule="auto"/>
        <w:jc w:val="both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TQTI Manager: </w:t>
      </w:r>
      <w:r w:rsidRPr="00C95A4B">
        <w:rPr>
          <w:rFonts w:asciiTheme="minorBidi" w:hAnsiTheme="minorBidi"/>
          <w:sz w:val="28"/>
          <w:szCs w:val="28"/>
        </w:rPr>
        <w:t>The top responsible person within the institute</w:t>
      </w:r>
    </w:p>
    <w:p w14:paraId="5857EA65" w14:textId="77BE81F5" w:rsidR="00917496" w:rsidRPr="00C95A4B" w:rsidRDefault="00917496" w:rsidP="009D7D42">
      <w:pPr>
        <w:numPr>
          <w:ilvl w:val="0"/>
          <w:numId w:val="3"/>
        </w:numPr>
        <w:spacing w:after="160" w:line="278" w:lineRule="auto"/>
        <w:jc w:val="both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TQTI Working Time: </w:t>
      </w:r>
      <w:r w:rsidRPr="00917496">
        <w:rPr>
          <w:rFonts w:asciiTheme="minorBidi" w:hAnsiTheme="minorBidi"/>
          <w:sz w:val="28"/>
          <w:szCs w:val="28"/>
        </w:rPr>
        <w:t>07:00 am – 04:00 pm</w:t>
      </w:r>
    </w:p>
    <w:p w14:paraId="2F7D69E9" w14:textId="77777777" w:rsidR="008810FE" w:rsidRDefault="008810FE" w:rsidP="009D7D42">
      <w:pPr>
        <w:spacing w:after="160" w:line="278" w:lineRule="auto"/>
        <w:jc w:val="both"/>
        <w:rPr>
          <w:rFonts w:asciiTheme="minorBidi" w:hAnsiTheme="minorBidi"/>
          <w:b/>
          <w:bCs/>
          <w:sz w:val="28"/>
          <w:szCs w:val="28"/>
        </w:rPr>
      </w:pPr>
    </w:p>
    <w:p w14:paraId="481E1C46" w14:textId="77777777" w:rsidR="008810FE" w:rsidRDefault="008810FE" w:rsidP="009D7D42">
      <w:p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</w:p>
    <w:p w14:paraId="59D7366C" w14:textId="77777777" w:rsidR="00C95A4B" w:rsidRDefault="00C95A4B" w:rsidP="009D7D42">
      <w:p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</w:p>
    <w:p w14:paraId="7A451B85" w14:textId="77777777" w:rsidR="00C95A4B" w:rsidRDefault="00C95A4B" w:rsidP="009D7D42">
      <w:p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</w:p>
    <w:p w14:paraId="3C10203F" w14:textId="77777777" w:rsidR="000C167E" w:rsidRDefault="000C167E" w:rsidP="009D7D42">
      <w:p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</w:p>
    <w:p w14:paraId="082D6DFB" w14:textId="77777777" w:rsidR="000A61BD" w:rsidRPr="001758D5" w:rsidRDefault="000A61BD" w:rsidP="000A61BD">
      <w:pPr>
        <w:rPr>
          <w:rFonts w:asciiTheme="minorBidi" w:hAnsiTheme="minorBidi"/>
          <w:b/>
          <w:bCs/>
          <w:sz w:val="28"/>
          <w:szCs w:val="28"/>
        </w:rPr>
      </w:pPr>
      <w:r w:rsidRPr="001758D5">
        <w:rPr>
          <w:rFonts w:asciiTheme="minorBidi" w:hAnsiTheme="minorBidi"/>
          <w:b/>
          <w:bCs/>
          <w:sz w:val="28"/>
          <w:szCs w:val="28"/>
        </w:rPr>
        <w:t>Scope</w:t>
      </w:r>
    </w:p>
    <w:p w14:paraId="51E0F63F" w14:textId="1545FA41" w:rsidR="000A61BD" w:rsidRPr="001758D5" w:rsidRDefault="000A61BD" w:rsidP="00D63381">
      <w:pPr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 xml:space="preserve">Grievances differ from other workplace issues as they specifically address disputes concerning workplace operations, policies, and procedures. Staff members may file grievances </w:t>
      </w:r>
      <w:r w:rsidR="00A77776">
        <w:rPr>
          <w:rFonts w:asciiTheme="minorBidi" w:hAnsiTheme="minorBidi"/>
          <w:sz w:val="28"/>
          <w:szCs w:val="28"/>
        </w:rPr>
        <w:t>for all</w:t>
      </w:r>
      <w:r w:rsidRPr="001758D5">
        <w:rPr>
          <w:rFonts w:asciiTheme="minorBidi" w:hAnsiTheme="minorBidi"/>
          <w:sz w:val="28"/>
          <w:szCs w:val="28"/>
        </w:rPr>
        <w:t xml:space="preserve"> disputes with TQTI (individual or department) concerning non-academic or workplace-related matters. This policy applies to issues outside the scope of other established policies at TQTI.</w:t>
      </w:r>
    </w:p>
    <w:p w14:paraId="3E53B457" w14:textId="77777777" w:rsidR="000A61BD" w:rsidRPr="001758D5" w:rsidRDefault="000A61BD" w:rsidP="000A61BD">
      <w:pPr>
        <w:rPr>
          <w:rFonts w:asciiTheme="minorBidi" w:hAnsiTheme="minorBidi"/>
          <w:b/>
          <w:bCs/>
          <w:sz w:val="28"/>
          <w:szCs w:val="28"/>
        </w:rPr>
      </w:pPr>
      <w:r w:rsidRPr="001758D5">
        <w:rPr>
          <w:rFonts w:asciiTheme="minorBidi" w:hAnsiTheme="minorBidi"/>
          <w:b/>
          <w:bCs/>
          <w:sz w:val="28"/>
          <w:szCs w:val="28"/>
        </w:rPr>
        <w:t>Procedure Statements</w:t>
      </w:r>
    </w:p>
    <w:p w14:paraId="2C3A4533" w14:textId="77777777" w:rsidR="000A61BD" w:rsidRPr="001758D5" w:rsidRDefault="000A61BD" w:rsidP="00D63381">
      <w:pPr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Staff grievances may arise in relation to workplace concerns. However, specific types of complaints are addressed through separate policies:</w:t>
      </w:r>
    </w:p>
    <w:p w14:paraId="322366AA" w14:textId="39CDCB7D" w:rsidR="000A61BD" w:rsidRPr="001758D5" w:rsidRDefault="000A61BD" w:rsidP="00D63381">
      <w:pPr>
        <w:numPr>
          <w:ilvl w:val="0"/>
          <w:numId w:val="4"/>
        </w:num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b/>
          <w:bCs/>
          <w:sz w:val="28"/>
          <w:szCs w:val="28"/>
        </w:rPr>
        <w:t>Workplace Safety Concerns</w:t>
      </w:r>
      <w:r w:rsidRPr="001758D5">
        <w:rPr>
          <w:rFonts w:asciiTheme="minorBidi" w:hAnsiTheme="minorBidi"/>
          <w:sz w:val="28"/>
          <w:szCs w:val="28"/>
        </w:rPr>
        <w:t xml:space="preserve">: Addressed via the </w:t>
      </w:r>
      <w:r w:rsidR="00552D62">
        <w:rPr>
          <w:rFonts w:asciiTheme="minorBidi" w:hAnsiTheme="minorBidi"/>
          <w:sz w:val="28"/>
          <w:szCs w:val="28"/>
        </w:rPr>
        <w:t xml:space="preserve">Quality, </w:t>
      </w:r>
      <w:r w:rsidRPr="001758D5">
        <w:rPr>
          <w:rFonts w:asciiTheme="minorBidi" w:hAnsiTheme="minorBidi"/>
          <w:sz w:val="28"/>
          <w:szCs w:val="28"/>
        </w:rPr>
        <w:t>Health</w:t>
      </w:r>
      <w:r w:rsidR="00552D62">
        <w:rPr>
          <w:rFonts w:asciiTheme="minorBidi" w:hAnsiTheme="minorBidi"/>
          <w:sz w:val="28"/>
          <w:szCs w:val="28"/>
        </w:rPr>
        <w:t>,</w:t>
      </w:r>
      <w:r w:rsidRPr="001758D5">
        <w:rPr>
          <w:rFonts w:asciiTheme="minorBidi" w:hAnsiTheme="minorBidi"/>
          <w:sz w:val="28"/>
          <w:szCs w:val="28"/>
        </w:rPr>
        <w:t xml:space="preserve"> Safety</w:t>
      </w:r>
      <w:r w:rsidR="00552D62">
        <w:rPr>
          <w:rFonts w:asciiTheme="minorBidi" w:hAnsiTheme="minorBidi"/>
          <w:sz w:val="28"/>
          <w:szCs w:val="28"/>
        </w:rPr>
        <w:t xml:space="preserve"> &amp; Environment</w:t>
      </w:r>
      <w:r w:rsidRPr="001758D5">
        <w:rPr>
          <w:rFonts w:asciiTheme="minorBidi" w:hAnsiTheme="minorBidi"/>
          <w:sz w:val="28"/>
          <w:szCs w:val="28"/>
        </w:rPr>
        <w:t xml:space="preserve"> Policy.</w:t>
      </w:r>
    </w:p>
    <w:p w14:paraId="13264ABF" w14:textId="4CBBF4DB" w:rsidR="000A61BD" w:rsidRPr="001758D5" w:rsidRDefault="00552D62" w:rsidP="00D63381">
      <w:pPr>
        <w:numPr>
          <w:ilvl w:val="0"/>
          <w:numId w:val="4"/>
        </w:num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>Discrimination Complaint Procedure</w:t>
      </w:r>
      <w:r w:rsidR="000A61BD" w:rsidRPr="001758D5">
        <w:rPr>
          <w:rFonts w:asciiTheme="minorBidi" w:hAnsiTheme="minorBidi"/>
          <w:sz w:val="28"/>
          <w:szCs w:val="28"/>
        </w:rPr>
        <w:t xml:space="preserve">: Governed by the </w:t>
      </w:r>
      <w:r>
        <w:rPr>
          <w:rFonts w:asciiTheme="minorBidi" w:hAnsiTheme="minorBidi"/>
          <w:sz w:val="28"/>
          <w:szCs w:val="28"/>
        </w:rPr>
        <w:t>Discrimination Complaint Form</w:t>
      </w:r>
    </w:p>
    <w:p w14:paraId="3F0E43B3" w14:textId="77777777" w:rsidR="000A61BD" w:rsidRPr="001758D5" w:rsidRDefault="000A61BD" w:rsidP="000A61BD">
      <w:pPr>
        <w:rPr>
          <w:rFonts w:asciiTheme="minorBidi" w:hAnsiTheme="minorBidi"/>
          <w:b/>
          <w:bCs/>
          <w:sz w:val="28"/>
          <w:szCs w:val="28"/>
        </w:rPr>
      </w:pPr>
      <w:r w:rsidRPr="001758D5">
        <w:rPr>
          <w:rFonts w:asciiTheme="minorBidi" w:hAnsiTheme="minorBidi"/>
          <w:b/>
          <w:bCs/>
          <w:sz w:val="28"/>
          <w:szCs w:val="28"/>
        </w:rPr>
        <w:t>Addressing Workplace-Related Issues</w:t>
      </w:r>
    </w:p>
    <w:p w14:paraId="2147FA5A" w14:textId="77777777" w:rsidR="000A61BD" w:rsidRPr="001758D5" w:rsidRDefault="000A61BD" w:rsidP="00D63381">
      <w:pPr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When grievances involve both workplace-related issues and academic responsibilities, priority will be given to resolving the workplace-related concerns first.</w:t>
      </w:r>
    </w:p>
    <w:p w14:paraId="615C1DBE" w14:textId="77777777" w:rsidR="000A61BD" w:rsidRPr="001758D5" w:rsidRDefault="000A61BD" w:rsidP="000A61BD">
      <w:pPr>
        <w:rPr>
          <w:rFonts w:asciiTheme="minorBidi" w:hAnsiTheme="minorBidi"/>
          <w:b/>
          <w:bCs/>
          <w:sz w:val="28"/>
          <w:szCs w:val="28"/>
        </w:rPr>
      </w:pPr>
      <w:r w:rsidRPr="001758D5">
        <w:rPr>
          <w:rFonts w:asciiTheme="minorBidi" w:hAnsiTheme="minorBidi"/>
          <w:b/>
          <w:bCs/>
          <w:sz w:val="28"/>
          <w:szCs w:val="28"/>
        </w:rPr>
        <w:t>Informal Resolution Process</w:t>
      </w:r>
    </w:p>
    <w:p w14:paraId="457E945A" w14:textId="639BF9CA" w:rsidR="00D63381" w:rsidRDefault="000A61BD" w:rsidP="00C95A4B">
      <w:pPr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 xml:space="preserve">Staff members are encouraged to resolve grievances informally by discussing their concerns directly with the relevant individual. </w:t>
      </w:r>
    </w:p>
    <w:p w14:paraId="3533B96B" w14:textId="77777777" w:rsidR="006E7563" w:rsidRDefault="006E7563" w:rsidP="00D63381">
      <w:pPr>
        <w:jc w:val="both"/>
        <w:rPr>
          <w:rFonts w:asciiTheme="minorBidi" w:hAnsiTheme="minorBidi"/>
          <w:sz w:val="28"/>
          <w:szCs w:val="28"/>
        </w:rPr>
      </w:pPr>
    </w:p>
    <w:p w14:paraId="2643AD1E" w14:textId="77777777" w:rsidR="009E2FF1" w:rsidRDefault="009E2FF1" w:rsidP="00D63381">
      <w:pPr>
        <w:jc w:val="both"/>
        <w:rPr>
          <w:rFonts w:asciiTheme="minorBidi" w:hAnsiTheme="minorBidi"/>
          <w:sz w:val="28"/>
          <w:szCs w:val="28"/>
        </w:rPr>
      </w:pPr>
    </w:p>
    <w:p w14:paraId="2F254EA9" w14:textId="77777777" w:rsidR="000C167E" w:rsidRDefault="000C167E" w:rsidP="00D63381">
      <w:pPr>
        <w:jc w:val="both"/>
        <w:rPr>
          <w:rFonts w:asciiTheme="minorBidi" w:hAnsiTheme="minorBidi"/>
          <w:sz w:val="28"/>
          <w:szCs w:val="28"/>
        </w:rPr>
      </w:pPr>
    </w:p>
    <w:p w14:paraId="19D46873" w14:textId="77777777" w:rsidR="00331EA3" w:rsidRPr="00D63381" w:rsidRDefault="00331EA3" w:rsidP="00D63381">
      <w:pPr>
        <w:jc w:val="both"/>
        <w:rPr>
          <w:rFonts w:asciiTheme="minorBidi" w:hAnsiTheme="minorBidi"/>
          <w:sz w:val="28"/>
          <w:szCs w:val="28"/>
        </w:rPr>
      </w:pPr>
    </w:p>
    <w:p w14:paraId="34B8F530" w14:textId="58AED06C" w:rsidR="000A61BD" w:rsidRPr="001758D5" w:rsidRDefault="000A61BD" w:rsidP="000A61BD">
      <w:pPr>
        <w:rPr>
          <w:rFonts w:asciiTheme="minorBidi" w:hAnsiTheme="minorBidi"/>
          <w:b/>
          <w:bCs/>
          <w:sz w:val="28"/>
          <w:szCs w:val="28"/>
        </w:rPr>
      </w:pPr>
      <w:r w:rsidRPr="001758D5">
        <w:rPr>
          <w:rFonts w:asciiTheme="minorBidi" w:hAnsiTheme="minorBidi"/>
          <w:b/>
          <w:bCs/>
          <w:sz w:val="28"/>
          <w:szCs w:val="28"/>
        </w:rPr>
        <w:t>Formal Grievance Process</w:t>
      </w:r>
    </w:p>
    <w:p w14:paraId="0334EDB9" w14:textId="77777777" w:rsidR="00C95A4B" w:rsidRDefault="000A61BD" w:rsidP="00D63381">
      <w:pPr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 xml:space="preserve">Should the informal resolution process fail to achieve a satisfactory outcome, staff members may file a formal grievance. </w:t>
      </w:r>
    </w:p>
    <w:p w14:paraId="36A2F114" w14:textId="483DBAD2" w:rsidR="000A61BD" w:rsidRPr="001758D5" w:rsidRDefault="000A61BD" w:rsidP="00D63381">
      <w:pPr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To do so:</w:t>
      </w:r>
    </w:p>
    <w:p w14:paraId="2407606A" w14:textId="4251408A" w:rsidR="000A61BD" w:rsidRPr="001758D5" w:rsidRDefault="000A61BD" w:rsidP="00C95A4B">
      <w:pPr>
        <w:numPr>
          <w:ilvl w:val="0"/>
          <w:numId w:val="5"/>
        </w:num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Submit a written grievance to the relevant administrator</w:t>
      </w:r>
      <w:r w:rsidR="00C95A4B">
        <w:rPr>
          <w:rFonts w:asciiTheme="minorBidi" w:hAnsiTheme="minorBidi"/>
          <w:sz w:val="28"/>
          <w:szCs w:val="28"/>
        </w:rPr>
        <w:t xml:space="preserve"> (if available), if not submit it to TQTI Manager</w:t>
      </w:r>
      <w:r w:rsidR="00CC6C4C">
        <w:rPr>
          <w:rFonts w:asciiTheme="minorBidi" w:hAnsiTheme="minorBidi"/>
          <w:sz w:val="28"/>
          <w:szCs w:val="28"/>
        </w:rPr>
        <w:t xml:space="preserve"> </w:t>
      </w:r>
      <w:r w:rsidRPr="001758D5">
        <w:rPr>
          <w:rFonts w:asciiTheme="minorBidi" w:hAnsiTheme="minorBidi"/>
          <w:sz w:val="28"/>
          <w:szCs w:val="28"/>
        </w:rPr>
        <w:t xml:space="preserve">within </w:t>
      </w:r>
      <w:r w:rsidR="001E2582">
        <w:rPr>
          <w:rFonts w:asciiTheme="minorBidi" w:hAnsiTheme="minorBidi"/>
          <w:sz w:val="28"/>
          <w:szCs w:val="28"/>
        </w:rPr>
        <w:t>five</w:t>
      </w:r>
      <w:r w:rsidRPr="001758D5">
        <w:rPr>
          <w:rFonts w:asciiTheme="minorBidi" w:hAnsiTheme="minorBidi"/>
          <w:sz w:val="28"/>
          <w:szCs w:val="28"/>
        </w:rPr>
        <w:t xml:space="preserve"> working days of the event</w:t>
      </w:r>
      <w:r w:rsidR="00C95A4B">
        <w:rPr>
          <w:rFonts w:asciiTheme="minorBidi" w:hAnsiTheme="minorBidi"/>
          <w:sz w:val="28"/>
          <w:szCs w:val="28"/>
        </w:rPr>
        <w:t>.</w:t>
      </w:r>
    </w:p>
    <w:p w14:paraId="4A0A754F" w14:textId="66360B02" w:rsidR="000A61BD" w:rsidRPr="001758D5" w:rsidRDefault="000A61BD" w:rsidP="00D63381">
      <w:pPr>
        <w:numPr>
          <w:ilvl w:val="0"/>
          <w:numId w:val="5"/>
        </w:numPr>
        <w:spacing w:after="160" w:line="278" w:lineRule="auto"/>
        <w:jc w:val="both"/>
        <w:rPr>
          <w:rFonts w:asciiTheme="minorBidi" w:hAnsiTheme="minorBidi"/>
          <w:sz w:val="28"/>
          <w:szCs w:val="28"/>
        </w:rPr>
      </w:pPr>
      <w:r w:rsidRPr="001758D5">
        <w:rPr>
          <w:rFonts w:asciiTheme="minorBidi" w:hAnsiTheme="minorBidi"/>
          <w:sz w:val="28"/>
          <w:szCs w:val="28"/>
        </w:rPr>
        <w:t>Clearly outline the nature of the issue, desired resolution, and any previous attempts to resolve the matter. The administrator</w:t>
      </w:r>
      <w:r w:rsidR="00200825">
        <w:rPr>
          <w:rFonts w:asciiTheme="minorBidi" w:hAnsiTheme="minorBidi"/>
          <w:sz w:val="28"/>
          <w:szCs w:val="28"/>
        </w:rPr>
        <w:t xml:space="preserve"> or TQTI manager</w:t>
      </w:r>
      <w:r w:rsidRPr="001758D5">
        <w:rPr>
          <w:rFonts w:asciiTheme="minorBidi" w:hAnsiTheme="minorBidi"/>
          <w:sz w:val="28"/>
          <w:szCs w:val="28"/>
        </w:rPr>
        <w:t xml:space="preserve"> will conduct a review and respond in writing within </w:t>
      </w:r>
      <w:r w:rsidR="006E1CEF">
        <w:rPr>
          <w:rFonts w:asciiTheme="minorBidi" w:hAnsiTheme="minorBidi"/>
          <w:sz w:val="28"/>
          <w:szCs w:val="28"/>
        </w:rPr>
        <w:t>two</w:t>
      </w:r>
      <w:r w:rsidRPr="001758D5">
        <w:rPr>
          <w:rFonts w:asciiTheme="minorBidi" w:hAnsiTheme="minorBidi"/>
          <w:sz w:val="28"/>
          <w:szCs w:val="28"/>
        </w:rPr>
        <w:t xml:space="preserve"> working days of receiving the grievance. If additional time is required due to exceptional circumstances, staff members will be informed accordingly.</w:t>
      </w:r>
      <w:r w:rsidR="00200825">
        <w:rPr>
          <w:rFonts w:asciiTheme="minorBidi" w:hAnsiTheme="minorBidi"/>
          <w:sz w:val="28"/>
          <w:szCs w:val="28"/>
        </w:rPr>
        <w:t xml:space="preserve"> </w:t>
      </w:r>
    </w:p>
    <w:p w14:paraId="2EE26B52" w14:textId="77777777" w:rsidR="005A0C6B" w:rsidRDefault="005A0C6B" w:rsidP="00D63381">
      <w:pPr>
        <w:spacing w:after="160" w:line="278" w:lineRule="auto"/>
        <w:ind w:left="720"/>
        <w:jc w:val="both"/>
        <w:rPr>
          <w:rFonts w:asciiTheme="minorBidi" w:hAnsiTheme="minorBidi"/>
          <w:color w:val="FF0000"/>
          <w:sz w:val="28"/>
          <w:szCs w:val="28"/>
        </w:rPr>
      </w:pPr>
    </w:p>
    <w:p w14:paraId="78AB9548" w14:textId="68F8A292" w:rsidR="005A0C6B" w:rsidRDefault="005A0C6B" w:rsidP="00D63381">
      <w:pPr>
        <w:spacing w:after="160" w:line="278" w:lineRule="auto"/>
        <w:ind w:left="720"/>
        <w:jc w:val="both"/>
        <w:rPr>
          <w:rFonts w:asciiTheme="minorBidi" w:hAnsiTheme="minorBidi"/>
          <w:color w:val="FF0000"/>
          <w:sz w:val="28"/>
          <w:szCs w:val="28"/>
        </w:rPr>
      </w:pPr>
    </w:p>
    <w:p w14:paraId="124E7058" w14:textId="7889025B" w:rsidR="005A0C6B" w:rsidRDefault="000C167E" w:rsidP="00D63381">
      <w:pPr>
        <w:spacing w:after="160" w:line="278" w:lineRule="auto"/>
        <w:ind w:left="720"/>
        <w:jc w:val="both"/>
        <w:rPr>
          <w:rFonts w:asciiTheme="minorBidi" w:hAnsiTheme="minorBidi"/>
          <w:color w:val="FF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5BD88D1" wp14:editId="750D4ADC">
            <wp:simplePos x="0" y="0"/>
            <wp:positionH relativeFrom="column">
              <wp:posOffset>2147208</wp:posOffset>
            </wp:positionH>
            <wp:positionV relativeFrom="paragraph">
              <wp:posOffset>11248</wp:posOffset>
            </wp:positionV>
            <wp:extent cx="1127760" cy="646430"/>
            <wp:effectExtent l="0" t="0" r="0" b="1270"/>
            <wp:wrapSquare wrapText="bothSides"/>
            <wp:docPr id="5250789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85EDB3" w14:textId="3A054DDE" w:rsidR="005A0C6B" w:rsidRPr="00D63381" w:rsidRDefault="005A0C6B" w:rsidP="00D63381">
      <w:pPr>
        <w:spacing w:after="160" w:line="278" w:lineRule="auto"/>
        <w:ind w:left="720"/>
        <w:jc w:val="both"/>
        <w:rPr>
          <w:rFonts w:asciiTheme="minorBidi" w:hAnsiTheme="minorBidi"/>
          <w:color w:val="FF0000"/>
          <w:sz w:val="28"/>
          <w:szCs w:val="28"/>
        </w:rPr>
      </w:pPr>
    </w:p>
    <w:p w14:paraId="12DE2284" w14:textId="2FC7BDB7" w:rsidR="00E32E04" w:rsidRPr="00E32E04" w:rsidRDefault="00D63381" w:rsidP="00D63381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  </w:t>
      </w:r>
      <w:r w:rsidR="00E32E04" w:rsidRPr="00E32E04">
        <w:rPr>
          <w:b/>
          <w:bCs/>
        </w:rPr>
        <w:t>Dr. Sam</w:t>
      </w:r>
      <w:r w:rsidR="002D5B0B">
        <w:rPr>
          <w:b/>
          <w:bCs/>
        </w:rPr>
        <w:t>i</w:t>
      </w:r>
      <w:r w:rsidR="00E32E04" w:rsidRPr="00E32E04">
        <w:rPr>
          <w:b/>
          <w:bCs/>
        </w:rPr>
        <w:t>r Al Bahrani</w:t>
      </w:r>
    </w:p>
    <w:p w14:paraId="6EDED234" w14:textId="580FF871" w:rsidR="00E32E04" w:rsidRPr="00FB5A7D" w:rsidRDefault="00E32E04" w:rsidP="00E32E04">
      <w:pPr>
        <w:tabs>
          <w:tab w:val="left" w:pos="6802"/>
        </w:tabs>
        <w:rPr>
          <w:b/>
          <w:bCs/>
        </w:rPr>
      </w:pPr>
      <w:r w:rsidRPr="00E32E04">
        <w:rPr>
          <w:b/>
          <w:bCs/>
        </w:rPr>
        <w:t xml:space="preserve">                                                               </w:t>
      </w:r>
      <w:r w:rsidR="00D63381">
        <w:rPr>
          <w:b/>
          <w:bCs/>
        </w:rPr>
        <w:t xml:space="preserve">   </w:t>
      </w:r>
      <w:r w:rsidRPr="00E32E04">
        <w:rPr>
          <w:b/>
          <w:bCs/>
        </w:rPr>
        <w:t xml:space="preserve">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</w:t>
      </w:r>
      <w:r w:rsidR="00A0537B">
        <w:rPr>
          <w:b/>
          <w:bCs/>
        </w:rPr>
        <w:t>June</w:t>
      </w:r>
      <w:r>
        <w:rPr>
          <w:b/>
          <w:bCs/>
        </w:rPr>
        <w:t xml:space="preserve"> / 2026</w:t>
      </w:r>
    </w:p>
    <w:p w14:paraId="343BAE39" w14:textId="485CCC31" w:rsidR="00E32E04" w:rsidRPr="00D63381" w:rsidRDefault="00E32E04" w:rsidP="00D63381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</w:t>
      </w:r>
      <w:r w:rsidR="00191BC7">
        <w:rPr>
          <w:b/>
          <w:bCs/>
        </w:rPr>
        <w:t xml:space="preserve">    </w:t>
      </w:r>
      <w:r w:rsidRPr="00FB5A7D">
        <w:rPr>
          <w:b/>
          <w:bCs/>
        </w:rPr>
        <w:t xml:space="preserve">  25 / </w:t>
      </w:r>
      <w:r w:rsidR="00A0537B"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p w14:paraId="07ECCFFB" w14:textId="4506AE62" w:rsidR="008A206C" w:rsidRPr="002C1779" w:rsidRDefault="00D63381" w:rsidP="002C1779">
      <w:pPr>
        <w:tabs>
          <w:tab w:val="left" w:pos="3595"/>
        </w:tabs>
        <w:spacing w:after="160" w:line="278" w:lineRule="auto"/>
        <w:ind w:left="720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ab/>
      </w:r>
    </w:p>
    <w:sectPr w:rsidR="008A206C" w:rsidRPr="002C1779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E4448" w14:textId="77777777" w:rsidR="00ED76FB" w:rsidRDefault="00ED76FB" w:rsidP="002C7D37">
      <w:pPr>
        <w:spacing w:after="0" w:line="240" w:lineRule="auto"/>
      </w:pPr>
      <w:r>
        <w:separator/>
      </w:r>
    </w:p>
  </w:endnote>
  <w:endnote w:type="continuationSeparator" w:id="0">
    <w:p w14:paraId="4CD2C8AB" w14:textId="77777777" w:rsidR="00ED76FB" w:rsidRDefault="00ED76FB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9BE8F" w14:textId="77777777" w:rsidR="00D63381" w:rsidRDefault="00D63381" w:rsidP="00D63381">
    <w:pPr>
      <w:pStyle w:val="Footer"/>
      <w:jc w:val="both"/>
    </w:pPr>
  </w:p>
  <w:p w14:paraId="00E29640" w14:textId="6AE5DB00" w:rsidR="00D63381" w:rsidRDefault="00D63381" w:rsidP="00D63381">
    <w:pPr>
      <w:pStyle w:val="Footer"/>
    </w:pPr>
    <w:r w:rsidRPr="00E32E04">
      <w:rPr>
        <w:b/>
        <w:bCs/>
      </w:rPr>
      <w:t>TQTI-HSE-PR-0</w:t>
    </w:r>
    <w:r>
      <w:rPr>
        <w:b/>
        <w:bCs/>
      </w:rPr>
      <w:t>3</w:t>
    </w:r>
    <w:r w:rsidRPr="00E32E04">
      <w:t xml:space="preserve">                                       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74AA5A78" wp14:editId="670F8ABF">
          <wp:simplePos x="0" y="0"/>
          <wp:positionH relativeFrom="page">
            <wp:align>right</wp:align>
          </wp:positionH>
          <wp:positionV relativeFrom="paragraph">
            <wp:posOffset>140659</wp:posOffset>
          </wp:positionV>
          <wp:extent cx="7759700" cy="617855"/>
          <wp:effectExtent l="0" t="0" r="0" b="0"/>
          <wp:wrapNone/>
          <wp:docPr id="5653972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296754" name="Picture 15072967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0" cy="61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D9D1635" w14:textId="71CA729D" w:rsidR="00D63381" w:rsidRDefault="00D63381">
    <w:pPr>
      <w:pStyle w:val="Footer"/>
      <w:jc w:val="right"/>
    </w:pPr>
  </w:p>
  <w:sdt>
    <w:sdtPr>
      <w:id w:val="-1906135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C507E2" w14:textId="35D4BE80" w:rsidR="00D63381" w:rsidRDefault="00D633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71AEFF" w14:textId="599E3537" w:rsidR="002C7D37" w:rsidRDefault="002C7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12F06" w14:textId="77777777" w:rsidR="00ED76FB" w:rsidRDefault="00ED76FB" w:rsidP="002C7D37">
      <w:pPr>
        <w:spacing w:after="0" w:line="240" w:lineRule="auto"/>
      </w:pPr>
      <w:r>
        <w:separator/>
      </w:r>
    </w:p>
  </w:footnote>
  <w:footnote w:type="continuationSeparator" w:id="0">
    <w:p w14:paraId="536E0BE3" w14:textId="77777777" w:rsidR="00ED76FB" w:rsidRDefault="00ED76FB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0689FA10" w:rsidR="002C7D37" w:rsidRDefault="000C167E">
    <w:pPr>
      <w:pStyle w:val="Header"/>
      <w:rPr>
        <w:noProof/>
        <w:lang w:val="en-IN"/>
      </w:rPr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2336" behindDoc="0" locked="0" layoutInCell="1" allowOverlap="1" wp14:anchorId="464B9C01" wp14:editId="207FBC94">
          <wp:simplePos x="0" y="0"/>
          <wp:positionH relativeFrom="page">
            <wp:posOffset>54519</wp:posOffset>
          </wp:positionH>
          <wp:positionV relativeFrom="paragraph">
            <wp:posOffset>42545</wp:posOffset>
          </wp:positionV>
          <wp:extent cx="7668000" cy="1074894"/>
          <wp:effectExtent l="0" t="0" r="0" b="0"/>
          <wp:wrapNone/>
          <wp:docPr id="1932883878" name="Picture 19328838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r="485" b="90177"/>
                  <a:stretch>
                    <a:fillRect/>
                  </a:stretch>
                </pic:blipFill>
                <pic:spPr bwMode="auto">
                  <a:xfrm>
                    <a:off x="0" y="0"/>
                    <a:ext cx="7668000" cy="10748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5A9C61" w14:textId="14D2CBB3" w:rsidR="000C167E" w:rsidRDefault="000C167E">
    <w:pPr>
      <w:pStyle w:val="Header"/>
      <w:rPr>
        <w:noProof/>
        <w:lang w:val="en-IN"/>
      </w:rPr>
    </w:pPr>
  </w:p>
  <w:p w14:paraId="06250201" w14:textId="05D90660" w:rsidR="000C167E" w:rsidRDefault="000C167E">
    <w:pPr>
      <w:pStyle w:val="Header"/>
      <w:rPr>
        <w:noProof/>
        <w:lang w:val="en-IN"/>
      </w:rPr>
    </w:pPr>
  </w:p>
  <w:p w14:paraId="7BAA645C" w14:textId="678E68B0" w:rsidR="000C167E" w:rsidRDefault="000C167E">
    <w:pPr>
      <w:pStyle w:val="Header"/>
      <w:rPr>
        <w:noProof/>
        <w:lang w:val="en-IN"/>
      </w:rPr>
    </w:pPr>
  </w:p>
  <w:p w14:paraId="5C4F3022" w14:textId="6E1072DF" w:rsidR="000C167E" w:rsidRDefault="000C167E">
    <w:pPr>
      <w:pStyle w:val="Header"/>
      <w:rPr>
        <w:noProof/>
        <w:lang w:val="en-IN"/>
      </w:rPr>
    </w:pPr>
  </w:p>
  <w:p w14:paraId="5E4F3EDF" w14:textId="30A8EC85" w:rsidR="000C167E" w:rsidRDefault="000C167E">
    <w:pPr>
      <w:pStyle w:val="Header"/>
      <w:rPr>
        <w:noProof/>
        <w:lang w:val="en-IN"/>
      </w:rPr>
    </w:pPr>
  </w:p>
  <w:p w14:paraId="2B7317F1" w14:textId="6CA703EB" w:rsidR="000C167E" w:rsidRDefault="000C167E">
    <w:pPr>
      <w:pStyle w:val="Header"/>
      <w:rPr>
        <w:noProof/>
        <w:lang w:val="en-IN"/>
      </w:rPr>
    </w:pPr>
  </w:p>
  <w:p w14:paraId="6C752A56" w14:textId="45FFEF3E" w:rsidR="000C167E" w:rsidRPr="000C167E" w:rsidRDefault="000C167E">
    <w:pPr>
      <w:pStyle w:val="Header"/>
      <w:rPr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24B64"/>
    <w:multiLevelType w:val="multilevel"/>
    <w:tmpl w:val="F5FA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A3899"/>
    <w:multiLevelType w:val="multilevel"/>
    <w:tmpl w:val="F3E2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34B1C"/>
    <w:multiLevelType w:val="multilevel"/>
    <w:tmpl w:val="7B8C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75743"/>
    <w:multiLevelType w:val="multilevel"/>
    <w:tmpl w:val="C84A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2249340">
    <w:abstractNumId w:val="4"/>
  </w:num>
  <w:num w:numId="2" w16cid:durableId="1841971317">
    <w:abstractNumId w:val="2"/>
  </w:num>
  <w:num w:numId="3" w16cid:durableId="1272589097">
    <w:abstractNumId w:val="5"/>
  </w:num>
  <w:num w:numId="4" w16cid:durableId="855996568">
    <w:abstractNumId w:val="1"/>
  </w:num>
  <w:num w:numId="5" w16cid:durableId="1613903064">
    <w:abstractNumId w:val="3"/>
  </w:num>
  <w:num w:numId="6" w16cid:durableId="2099058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55300"/>
    <w:rsid w:val="000A61BD"/>
    <w:rsid w:val="000C0581"/>
    <w:rsid w:val="000C167E"/>
    <w:rsid w:val="000C7752"/>
    <w:rsid w:val="00182F67"/>
    <w:rsid w:val="0018353E"/>
    <w:rsid w:val="00191BC7"/>
    <w:rsid w:val="001B710F"/>
    <w:rsid w:val="001E2582"/>
    <w:rsid w:val="001F2C18"/>
    <w:rsid w:val="00200825"/>
    <w:rsid w:val="0022547D"/>
    <w:rsid w:val="00250549"/>
    <w:rsid w:val="0026243F"/>
    <w:rsid w:val="00295464"/>
    <w:rsid w:val="002A2C9D"/>
    <w:rsid w:val="002C1779"/>
    <w:rsid w:val="002C52FF"/>
    <w:rsid w:val="002C532D"/>
    <w:rsid w:val="002C7D37"/>
    <w:rsid w:val="002D2335"/>
    <w:rsid w:val="002D5B0B"/>
    <w:rsid w:val="002E0155"/>
    <w:rsid w:val="002F0667"/>
    <w:rsid w:val="00331EA3"/>
    <w:rsid w:val="00345F11"/>
    <w:rsid w:val="00382A49"/>
    <w:rsid w:val="003C1218"/>
    <w:rsid w:val="003E1D08"/>
    <w:rsid w:val="004118FB"/>
    <w:rsid w:val="004175B4"/>
    <w:rsid w:val="004B00AA"/>
    <w:rsid w:val="004C24CA"/>
    <w:rsid w:val="004C55DC"/>
    <w:rsid w:val="004D76EF"/>
    <w:rsid w:val="0054178A"/>
    <w:rsid w:val="00552D62"/>
    <w:rsid w:val="005632C4"/>
    <w:rsid w:val="0059049C"/>
    <w:rsid w:val="005A0C6B"/>
    <w:rsid w:val="005B165E"/>
    <w:rsid w:val="006023A5"/>
    <w:rsid w:val="00625746"/>
    <w:rsid w:val="006605E5"/>
    <w:rsid w:val="006A02D4"/>
    <w:rsid w:val="006E1CEF"/>
    <w:rsid w:val="006E7563"/>
    <w:rsid w:val="00735EF5"/>
    <w:rsid w:val="00805722"/>
    <w:rsid w:val="00811802"/>
    <w:rsid w:val="008810FE"/>
    <w:rsid w:val="00881E48"/>
    <w:rsid w:val="008A206C"/>
    <w:rsid w:val="008D21E9"/>
    <w:rsid w:val="00917496"/>
    <w:rsid w:val="00956E0B"/>
    <w:rsid w:val="00957F1C"/>
    <w:rsid w:val="00983691"/>
    <w:rsid w:val="009D7D42"/>
    <w:rsid w:val="009E2FF1"/>
    <w:rsid w:val="00A0537B"/>
    <w:rsid w:val="00A16900"/>
    <w:rsid w:val="00A40858"/>
    <w:rsid w:val="00A55FA5"/>
    <w:rsid w:val="00A77776"/>
    <w:rsid w:val="00B106B9"/>
    <w:rsid w:val="00B23BB8"/>
    <w:rsid w:val="00B33A18"/>
    <w:rsid w:val="00BF55C1"/>
    <w:rsid w:val="00C95A4B"/>
    <w:rsid w:val="00CC6C4C"/>
    <w:rsid w:val="00CD5056"/>
    <w:rsid w:val="00D63381"/>
    <w:rsid w:val="00D95656"/>
    <w:rsid w:val="00DB2802"/>
    <w:rsid w:val="00DE2279"/>
    <w:rsid w:val="00E161B4"/>
    <w:rsid w:val="00E32E04"/>
    <w:rsid w:val="00E66320"/>
    <w:rsid w:val="00EC4853"/>
    <w:rsid w:val="00ED76FB"/>
    <w:rsid w:val="00EE4858"/>
    <w:rsid w:val="00EF5000"/>
    <w:rsid w:val="00F25818"/>
    <w:rsid w:val="00F448ED"/>
    <w:rsid w:val="00F6563B"/>
    <w:rsid w:val="00F82D8F"/>
    <w:rsid w:val="00FA71FE"/>
    <w:rsid w:val="00FB5A7D"/>
    <w:rsid w:val="00FC2584"/>
    <w:rsid w:val="00FF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2053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83</cp:revision>
  <cp:lastPrinted>2025-03-28T10:06:00Z</cp:lastPrinted>
  <dcterms:created xsi:type="dcterms:W3CDTF">2025-03-28T10:03:00Z</dcterms:created>
  <dcterms:modified xsi:type="dcterms:W3CDTF">2025-09-11T08:23:00Z</dcterms:modified>
</cp:coreProperties>
</file>